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910" w:rsidRPr="00FC6910" w:rsidRDefault="00FC6910" w:rsidP="00FC6910">
      <w:pPr>
        <w:shd w:val="clear" w:color="auto" w:fill="FFFFFF"/>
        <w:spacing w:after="0" w:line="240" w:lineRule="auto"/>
        <w:outlineLvl w:val="0"/>
        <w:rPr>
          <w:rFonts w:ascii="Arial" w:eastAsia="Times New Roman" w:hAnsi="Arial" w:cs="Arial"/>
          <w:color w:val="296ABE"/>
          <w:kern w:val="36"/>
          <w:sz w:val="57"/>
          <w:szCs w:val="57"/>
        </w:rPr>
      </w:pPr>
      <w:r w:rsidRPr="00FC6910">
        <w:rPr>
          <w:rFonts w:ascii="Arial" w:eastAsia="Times New Roman" w:hAnsi="Arial" w:cs="Arial"/>
          <w:color w:val="296ABE"/>
          <w:kern w:val="36"/>
          <w:sz w:val="57"/>
          <w:szCs w:val="57"/>
        </w:rPr>
        <w:t xml:space="preserve">La explotación de los yacimientos de uranio de </w:t>
      </w:r>
      <w:proofErr w:type="spellStart"/>
      <w:r w:rsidRPr="00FC6910">
        <w:rPr>
          <w:rFonts w:ascii="Arial" w:eastAsia="Times New Roman" w:hAnsi="Arial" w:cs="Arial"/>
          <w:color w:val="296ABE"/>
          <w:kern w:val="36"/>
          <w:sz w:val="57"/>
          <w:szCs w:val="57"/>
        </w:rPr>
        <w:t>Retortillo</w:t>
      </w:r>
      <w:proofErr w:type="spellEnd"/>
      <w:r w:rsidRPr="00FC6910">
        <w:rPr>
          <w:rFonts w:ascii="Arial" w:eastAsia="Times New Roman" w:hAnsi="Arial" w:cs="Arial"/>
          <w:color w:val="296ABE"/>
          <w:kern w:val="36"/>
          <w:sz w:val="57"/>
          <w:szCs w:val="57"/>
        </w:rPr>
        <w:t xml:space="preserve"> y Santidad es plenamente rentable </w:t>
      </w:r>
    </w:p>
    <w:p w:rsidR="00FC6910" w:rsidRPr="00FC6910" w:rsidRDefault="00FC6910" w:rsidP="00FC6910">
      <w:pPr>
        <w:shd w:val="clear" w:color="auto" w:fill="FFFFFF"/>
        <w:spacing w:after="0" w:line="240" w:lineRule="auto"/>
        <w:rPr>
          <w:rFonts w:ascii="Arial" w:eastAsia="Times New Roman" w:hAnsi="Arial" w:cs="Arial"/>
          <w:color w:val="4E4E4E"/>
          <w:sz w:val="24"/>
          <w:szCs w:val="24"/>
        </w:rPr>
      </w:pPr>
      <w:r>
        <w:rPr>
          <w:rFonts w:ascii="Arial" w:eastAsia="Times New Roman" w:hAnsi="Arial" w:cs="Arial"/>
          <w:noProof/>
          <w:color w:val="0000FF"/>
          <w:sz w:val="24"/>
          <w:szCs w:val="24"/>
        </w:rPr>
        <w:drawing>
          <wp:inline distT="0" distB="0" distL="0" distR="0">
            <wp:extent cx="152400" cy="152400"/>
            <wp:effectExtent l="19050" t="0" r="0" b="0"/>
            <wp:docPr id="4" name="Imagen 4" descr="Descargar en .pdf">
              <a:hlinkClick xmlns:a="http://schemas.openxmlformats.org/drawingml/2006/main" r:id="rId4" tgtFrame="_blank" tooltip="&quot;Descargar en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argar en .pdf">
                      <a:hlinkClick r:id="rId4" tgtFrame="_blank" tooltip="&quot;Descargar en .pdf&quot;"/>
                    </pic:cNvP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p>
    <w:tbl>
      <w:tblPr>
        <w:tblpPr w:leftFromText="45" w:rightFromText="45" w:vertAnchor="text"/>
        <w:tblW w:w="5000" w:type="pct"/>
        <w:tblCellSpacing w:w="0" w:type="dxa"/>
        <w:tblCellMar>
          <w:left w:w="0" w:type="dxa"/>
          <w:right w:w="0" w:type="dxa"/>
        </w:tblCellMar>
        <w:tblLook w:val="04A0"/>
      </w:tblPr>
      <w:tblGrid>
        <w:gridCol w:w="10466"/>
      </w:tblGrid>
      <w:tr w:rsidR="00FC6910" w:rsidRPr="00FC6910" w:rsidTr="00FC6910">
        <w:trPr>
          <w:tblCellSpacing w:w="0" w:type="dxa"/>
        </w:trPr>
        <w:tc>
          <w:tcPr>
            <w:tcW w:w="0" w:type="auto"/>
            <w:vAlign w:val="center"/>
            <w:hideMark/>
          </w:tcPr>
          <w:p w:rsidR="00FC6910" w:rsidRPr="00FC6910" w:rsidRDefault="00FC6910" w:rsidP="00FC6910">
            <w:pPr>
              <w:spacing w:after="0" w:line="240" w:lineRule="auto"/>
              <w:rPr>
                <w:rFonts w:ascii="Arial" w:eastAsia="Times New Roman" w:hAnsi="Arial" w:cs="Arial"/>
                <w:color w:val="4E4E4E"/>
                <w:sz w:val="24"/>
                <w:szCs w:val="24"/>
              </w:rPr>
            </w:pPr>
            <w:r>
              <w:rPr>
                <w:rFonts w:ascii="Arial" w:eastAsia="Times New Roman" w:hAnsi="Arial" w:cs="Arial"/>
                <w:noProof/>
                <w:color w:val="4E4E4E"/>
                <w:sz w:val="24"/>
                <w:szCs w:val="24"/>
              </w:rPr>
              <w:drawing>
                <wp:inline distT="0" distB="0" distL="0" distR="0">
                  <wp:extent cx="6143625" cy="4095750"/>
                  <wp:effectExtent l="19050" t="0" r="9525" b="0"/>
                  <wp:docPr id="5" name="Imagen 5" descr="La explotación de los yacimientos de uranio de Retortillo y Santidad es plenamente rentable - salamanca24h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explotación de los yacimientos de uranio de Retortillo y Santidad es plenamente rentable - salamanca24horas"/>
                          <pic:cNvPicPr>
                            <a:picLocks noChangeAspect="1" noChangeArrowheads="1"/>
                          </pic:cNvPicPr>
                        </pic:nvPicPr>
                        <pic:blipFill>
                          <a:blip r:embed="rId6"/>
                          <a:srcRect/>
                          <a:stretch>
                            <a:fillRect/>
                          </a:stretch>
                        </pic:blipFill>
                        <pic:spPr bwMode="auto">
                          <a:xfrm>
                            <a:off x="0" y="0"/>
                            <a:ext cx="6143625" cy="4095750"/>
                          </a:xfrm>
                          <a:prstGeom prst="rect">
                            <a:avLst/>
                          </a:prstGeom>
                          <a:noFill/>
                          <a:ln w="9525">
                            <a:noFill/>
                            <a:miter lim="800000"/>
                            <a:headEnd/>
                            <a:tailEnd/>
                          </a:ln>
                        </pic:spPr>
                      </pic:pic>
                    </a:graphicData>
                  </a:graphic>
                </wp:inline>
              </w:drawing>
            </w:r>
          </w:p>
          <w:p w:rsidR="00FC6910" w:rsidRPr="00FC6910" w:rsidRDefault="00FC6910" w:rsidP="00FC6910">
            <w:pPr>
              <w:spacing w:after="0" w:line="240" w:lineRule="auto"/>
              <w:textAlignment w:val="center"/>
              <w:rPr>
                <w:rFonts w:ascii="Arial" w:eastAsia="Times New Roman" w:hAnsi="Arial" w:cs="Arial"/>
                <w:color w:val="323232"/>
                <w:sz w:val="21"/>
                <w:szCs w:val="21"/>
              </w:rPr>
            </w:pPr>
            <w:r>
              <w:rPr>
                <w:rFonts w:ascii="Arial" w:eastAsia="Times New Roman" w:hAnsi="Arial" w:cs="Arial"/>
                <w:noProof/>
                <w:color w:val="323232"/>
                <w:sz w:val="21"/>
                <w:szCs w:val="21"/>
              </w:rPr>
              <w:drawing>
                <wp:inline distT="0" distB="0" distL="0" distR="0">
                  <wp:extent cx="152400" cy="123825"/>
                  <wp:effectExtent l="19050" t="0" r="0" b="0"/>
                  <wp:docPr id="6" name="Imagen 6" descr="http://www.salamanca24horas.com/images/pie_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alamanca24horas.com/images/pie_foto.jpg"/>
                          <pic:cNvPicPr>
                            <a:picLocks noChangeAspect="1" noChangeArrowheads="1"/>
                          </pic:cNvPicPr>
                        </pic:nvPicPr>
                        <pic:blipFill>
                          <a:blip r:embed="rId7"/>
                          <a:srcRect/>
                          <a:stretch>
                            <a:fillRect/>
                          </a:stretch>
                        </pic:blipFill>
                        <pic:spPr bwMode="auto">
                          <a:xfrm>
                            <a:off x="0" y="0"/>
                            <a:ext cx="152400" cy="123825"/>
                          </a:xfrm>
                          <a:prstGeom prst="rect">
                            <a:avLst/>
                          </a:prstGeom>
                          <a:noFill/>
                          <a:ln w="9525">
                            <a:noFill/>
                            <a:miter lim="800000"/>
                            <a:headEnd/>
                            <a:tailEnd/>
                          </a:ln>
                        </pic:spPr>
                      </pic:pic>
                    </a:graphicData>
                  </a:graphic>
                </wp:inline>
              </w:drawing>
            </w:r>
            <w:r w:rsidRPr="00FC6910">
              <w:rPr>
                <w:rFonts w:ascii="Arial" w:eastAsia="Times New Roman" w:hAnsi="Arial" w:cs="Arial"/>
                <w:color w:val="323232"/>
                <w:sz w:val="21"/>
                <w:szCs w:val="21"/>
              </w:rPr>
              <w:t xml:space="preserve">Trabajos sobre el terreno de Berkeley en </w:t>
            </w:r>
            <w:proofErr w:type="spellStart"/>
            <w:r w:rsidRPr="00FC6910">
              <w:rPr>
                <w:rFonts w:ascii="Arial" w:eastAsia="Times New Roman" w:hAnsi="Arial" w:cs="Arial"/>
                <w:color w:val="323232"/>
                <w:sz w:val="21"/>
                <w:szCs w:val="21"/>
              </w:rPr>
              <w:t>Retortillo</w:t>
            </w:r>
            <w:proofErr w:type="spellEnd"/>
            <w:r w:rsidRPr="00FC6910">
              <w:rPr>
                <w:rFonts w:ascii="Arial" w:eastAsia="Times New Roman" w:hAnsi="Arial" w:cs="Arial"/>
                <w:color w:val="323232"/>
                <w:sz w:val="21"/>
                <w:szCs w:val="21"/>
              </w:rPr>
              <w:t xml:space="preserve"> y Santidad </w:t>
            </w:r>
          </w:p>
          <w:p w:rsidR="00FC6910" w:rsidRPr="00FC6910" w:rsidRDefault="00FC6910" w:rsidP="00FC6910">
            <w:pPr>
              <w:spacing w:after="0" w:line="240" w:lineRule="auto"/>
              <w:rPr>
                <w:rFonts w:ascii="Georgia" w:eastAsia="Times New Roman" w:hAnsi="Georgia" w:cs="Arial"/>
                <w:color w:val="323232"/>
                <w:sz w:val="24"/>
                <w:szCs w:val="24"/>
              </w:rPr>
            </w:pPr>
            <w:r w:rsidRPr="00FC6910">
              <w:rPr>
                <w:rFonts w:ascii="Georgia" w:eastAsia="Times New Roman" w:hAnsi="Georgia" w:cs="Arial"/>
                <w:b/>
                <w:bCs/>
                <w:color w:val="323232"/>
                <w:sz w:val="24"/>
                <w:szCs w:val="24"/>
              </w:rPr>
              <w:t>Resultado del estudio preliminar de viabilidad de la fase 1 del Proyecto Salamanca 1, 100% propiedad de Berkeley (</w:t>
            </w:r>
            <w:proofErr w:type="spellStart"/>
            <w:r w:rsidRPr="00FC6910">
              <w:rPr>
                <w:rFonts w:ascii="Georgia" w:eastAsia="Times New Roman" w:hAnsi="Georgia" w:cs="Arial"/>
                <w:b/>
                <w:bCs/>
                <w:color w:val="323232"/>
                <w:sz w:val="24"/>
                <w:szCs w:val="24"/>
              </w:rPr>
              <w:t>Retortillo</w:t>
            </w:r>
            <w:proofErr w:type="spellEnd"/>
            <w:r w:rsidRPr="00FC6910">
              <w:rPr>
                <w:rFonts w:ascii="Georgia" w:eastAsia="Times New Roman" w:hAnsi="Georgia" w:cs="Arial"/>
                <w:b/>
                <w:bCs/>
                <w:color w:val="323232"/>
                <w:sz w:val="24"/>
                <w:szCs w:val="24"/>
              </w:rPr>
              <w:t xml:space="preserve"> y Santidad) </w:t>
            </w:r>
          </w:p>
          <w:p w:rsidR="00FC6910" w:rsidRPr="00FC6910" w:rsidRDefault="00FC6910" w:rsidP="00FC6910">
            <w:pPr>
              <w:spacing w:after="0" w:line="240" w:lineRule="auto"/>
              <w:rPr>
                <w:rFonts w:ascii="Georgia" w:eastAsia="Times New Roman" w:hAnsi="Georgia" w:cs="Arial"/>
                <w:color w:val="323232"/>
                <w:sz w:val="24"/>
                <w:szCs w:val="24"/>
              </w:rPr>
            </w:pPr>
            <w:r w:rsidRPr="00FC6910">
              <w:rPr>
                <w:rFonts w:ascii="Georgia" w:eastAsia="Times New Roman" w:hAnsi="Georgia" w:cs="Arial"/>
                <w:color w:val="323232"/>
                <w:sz w:val="24"/>
                <w:szCs w:val="24"/>
              </w:rPr>
              <w:br/>
            </w:r>
            <w:r w:rsidRPr="00FC6910">
              <w:rPr>
                <w:rFonts w:ascii="Georgia" w:eastAsia="Times New Roman" w:hAnsi="Georgia" w:cs="Arial"/>
                <w:color w:val="323232"/>
                <w:sz w:val="24"/>
                <w:szCs w:val="24"/>
              </w:rPr>
              <w:br/>
            </w:r>
            <w:r w:rsidRPr="00FC6910">
              <w:rPr>
                <w:rFonts w:ascii="Georgia" w:eastAsia="Times New Roman" w:hAnsi="Georgia" w:cs="Arial"/>
                <w:color w:val="323232"/>
                <w:sz w:val="24"/>
                <w:szCs w:val="24"/>
              </w:rPr>
              <w:br/>
              <w:t xml:space="preserve">Tras el comunicado del 13 de diciembre de 2011, Berkeley </w:t>
            </w:r>
            <w:proofErr w:type="spellStart"/>
            <w:r w:rsidRPr="00FC6910">
              <w:rPr>
                <w:rFonts w:ascii="Georgia" w:eastAsia="Times New Roman" w:hAnsi="Georgia" w:cs="Arial"/>
                <w:color w:val="323232"/>
                <w:sz w:val="24"/>
                <w:szCs w:val="24"/>
              </w:rPr>
              <w:t>Resources</w:t>
            </w:r>
            <w:proofErr w:type="spellEnd"/>
            <w:r w:rsidRPr="00FC6910">
              <w:rPr>
                <w:rFonts w:ascii="Georgia" w:eastAsia="Times New Roman" w:hAnsi="Georgia" w:cs="Arial"/>
                <w:color w:val="323232"/>
                <w:sz w:val="24"/>
                <w:szCs w:val="24"/>
              </w:rPr>
              <w:t xml:space="preserve"> </w:t>
            </w:r>
            <w:proofErr w:type="spellStart"/>
            <w:r w:rsidRPr="00FC6910">
              <w:rPr>
                <w:rFonts w:ascii="Georgia" w:eastAsia="Times New Roman" w:hAnsi="Georgia" w:cs="Arial"/>
                <w:color w:val="323232"/>
                <w:sz w:val="24"/>
                <w:szCs w:val="24"/>
              </w:rPr>
              <w:t>Limited</w:t>
            </w:r>
            <w:proofErr w:type="spellEnd"/>
            <w:r w:rsidRPr="00FC6910">
              <w:rPr>
                <w:rFonts w:ascii="Georgia" w:eastAsia="Times New Roman" w:hAnsi="Georgia" w:cs="Arial"/>
                <w:color w:val="323232"/>
                <w:sz w:val="24"/>
                <w:szCs w:val="24"/>
              </w:rPr>
              <w:t xml:space="preserve"> (en adelante, "Berkeley" o "la empresa") se complace en anunciar los resultados del Estudio de Viabilidad Preliminar del proyecto Salamanca 1, 100% propiedad de Berkeley, y que incluye únicamente los yacimientos de </w:t>
            </w:r>
            <w:proofErr w:type="spellStart"/>
            <w:r w:rsidRPr="00FC6910">
              <w:rPr>
                <w:rFonts w:ascii="Georgia" w:eastAsia="Times New Roman" w:hAnsi="Georgia" w:cs="Arial"/>
                <w:color w:val="323232"/>
                <w:sz w:val="24"/>
                <w:szCs w:val="24"/>
              </w:rPr>
              <w:t>Retortillo</w:t>
            </w:r>
            <w:proofErr w:type="spellEnd"/>
            <w:r w:rsidRPr="00FC6910">
              <w:rPr>
                <w:rFonts w:ascii="Georgia" w:eastAsia="Times New Roman" w:hAnsi="Georgia" w:cs="Arial"/>
                <w:color w:val="323232"/>
                <w:sz w:val="24"/>
                <w:szCs w:val="24"/>
              </w:rPr>
              <w:t xml:space="preserve"> y Santidad. El Plan de Explotación desarrollado a partir de los datos de este Estudio se ha presentado a las autoridades regionales de Castilla y León, de acuerdo con la normativa que rige la obtención de permisos y licencias. El proceso para la obtención de permisos se está desarrollando de acuerdo con lo previsto y la empresa espera que finalice dentro del plazo de 18 meses, señalado con anterioridad al mercado de valores. El Estudio de Viabilidad Preliminar (que será completado una vez que finalice la fase de información pública del Estudio de Impacto Ambiental) fue compilado por Berkeley, con la colaboración de un grupo de consultores encabezado por PPM </w:t>
            </w:r>
            <w:proofErr w:type="spellStart"/>
            <w:r w:rsidRPr="00FC6910">
              <w:rPr>
                <w:rFonts w:ascii="Georgia" w:eastAsia="Times New Roman" w:hAnsi="Georgia" w:cs="Arial"/>
                <w:color w:val="323232"/>
                <w:sz w:val="24"/>
                <w:szCs w:val="24"/>
              </w:rPr>
              <w:t>Solutions</w:t>
            </w:r>
            <w:proofErr w:type="spellEnd"/>
            <w:r w:rsidRPr="00FC6910">
              <w:rPr>
                <w:rFonts w:ascii="Georgia" w:eastAsia="Times New Roman" w:hAnsi="Georgia" w:cs="Arial"/>
                <w:color w:val="323232"/>
                <w:sz w:val="24"/>
                <w:szCs w:val="24"/>
              </w:rPr>
              <w:t>, en Australia. Este ha servido de base para el Proyecto de Explotación llevado a cabo por la empresa española CRN Consultores.</w:t>
            </w:r>
            <w:r w:rsidRPr="00FC6910">
              <w:rPr>
                <w:rFonts w:ascii="Georgia" w:eastAsia="Times New Roman" w:hAnsi="Georgia" w:cs="Arial"/>
                <w:color w:val="323232"/>
                <w:sz w:val="24"/>
                <w:szCs w:val="24"/>
              </w:rPr>
              <w:br/>
            </w:r>
            <w:r w:rsidRPr="00FC6910">
              <w:rPr>
                <w:rFonts w:ascii="Georgia" w:eastAsia="Times New Roman" w:hAnsi="Georgia" w:cs="Arial"/>
                <w:color w:val="323232"/>
                <w:sz w:val="24"/>
                <w:szCs w:val="24"/>
              </w:rPr>
              <w:br/>
              <w:t xml:space="preserve">Tal y como también se señalaba en el comunicado hecho público el 13 de diciembre, en julio se inició en </w:t>
            </w:r>
            <w:proofErr w:type="spellStart"/>
            <w:r w:rsidRPr="00FC6910">
              <w:rPr>
                <w:rFonts w:ascii="Georgia" w:eastAsia="Times New Roman" w:hAnsi="Georgia" w:cs="Arial"/>
                <w:color w:val="323232"/>
                <w:sz w:val="24"/>
                <w:szCs w:val="24"/>
              </w:rPr>
              <w:t>Retortillo</w:t>
            </w:r>
            <w:proofErr w:type="spellEnd"/>
            <w:r w:rsidRPr="00FC6910">
              <w:rPr>
                <w:rFonts w:ascii="Georgia" w:eastAsia="Times New Roman" w:hAnsi="Georgia" w:cs="Arial"/>
                <w:color w:val="323232"/>
                <w:sz w:val="24"/>
                <w:szCs w:val="24"/>
              </w:rPr>
              <w:t xml:space="preserve"> un programa de 10.000 sondeos de RC con el objetivo de incrementar los niveles de confianza en los recursos de mineral de </w:t>
            </w:r>
            <w:proofErr w:type="spellStart"/>
            <w:r w:rsidRPr="00FC6910">
              <w:rPr>
                <w:rFonts w:ascii="Georgia" w:eastAsia="Times New Roman" w:hAnsi="Georgia" w:cs="Arial"/>
                <w:color w:val="323232"/>
                <w:sz w:val="24"/>
                <w:szCs w:val="24"/>
              </w:rPr>
              <w:t>Retortillo</w:t>
            </w:r>
            <w:proofErr w:type="spellEnd"/>
            <w:r w:rsidRPr="00FC6910">
              <w:rPr>
                <w:rFonts w:ascii="Georgia" w:eastAsia="Times New Roman" w:hAnsi="Georgia" w:cs="Arial"/>
                <w:color w:val="323232"/>
                <w:sz w:val="24"/>
                <w:szCs w:val="24"/>
              </w:rPr>
              <w:t xml:space="preserve">. Tal y como se ha indicado, los cálculos, basados principalmente en e-grades y en el método de modelo de bloques de zona empleado en los yacimientos de las Reservas del Estado (que combina el </w:t>
            </w:r>
            <w:proofErr w:type="spellStart"/>
            <w:r w:rsidRPr="00FC6910">
              <w:rPr>
                <w:rFonts w:ascii="Georgia" w:eastAsia="Times New Roman" w:hAnsi="Georgia" w:cs="Arial"/>
                <w:color w:val="323232"/>
                <w:sz w:val="24"/>
                <w:szCs w:val="24"/>
              </w:rPr>
              <w:t>kriging</w:t>
            </w:r>
            <w:proofErr w:type="spellEnd"/>
            <w:r w:rsidRPr="00FC6910">
              <w:rPr>
                <w:rFonts w:ascii="Georgia" w:eastAsia="Times New Roman" w:hAnsi="Georgia" w:cs="Arial"/>
                <w:color w:val="323232"/>
                <w:sz w:val="24"/>
                <w:szCs w:val="24"/>
              </w:rPr>
              <w:t xml:space="preserve"> y el inverso del </w:t>
            </w:r>
            <w:r w:rsidRPr="00FC6910">
              <w:rPr>
                <w:rFonts w:ascii="Georgia" w:eastAsia="Times New Roman" w:hAnsi="Georgia" w:cs="Arial"/>
                <w:color w:val="323232"/>
                <w:sz w:val="24"/>
                <w:szCs w:val="24"/>
              </w:rPr>
              <w:lastRenderedPageBreak/>
              <w:t xml:space="preserve">cuadrado de la distancia), mostraron que lo cálculos originales de 2007 (basados en un fracción recuperada con el método del inverso del cuadrado de la distancia) sobreestimaron los recursos. Berkeley está en condiciones de confirmar que el porcentaje de esa sobreestimación de recursos es inferior al 12% anunciado en el comunicado de 13 de diciembre de 2011. Así, el total de los recursos propiedad de Berkeley en un 100% asciende a 28.7 </w:t>
            </w:r>
            <w:proofErr w:type="spellStart"/>
            <w:r w:rsidRPr="00FC6910">
              <w:rPr>
                <w:rFonts w:ascii="Georgia" w:eastAsia="Times New Roman" w:hAnsi="Georgia" w:cs="Arial"/>
                <w:color w:val="323232"/>
                <w:sz w:val="24"/>
                <w:szCs w:val="24"/>
              </w:rPr>
              <w:t>Mlbs</w:t>
            </w:r>
            <w:proofErr w:type="spellEnd"/>
            <w:r w:rsidRPr="00FC6910">
              <w:rPr>
                <w:rFonts w:ascii="Georgia" w:eastAsia="Times New Roman" w:hAnsi="Georgia" w:cs="Arial"/>
                <w:color w:val="323232"/>
                <w:sz w:val="24"/>
                <w:szCs w:val="24"/>
              </w:rPr>
              <w:t xml:space="preserve">, únicamente con un 9.5% de diferencia con respecto a los recursos de 31.7Mlbs evaluados en el año 2008, lo cual es una diferencia normal e insignificante cuando se hace este tipo de conversión de recursos en indicados que posteriormente serán reservas explotables. Tal y como se detalla seguidamente, con esos recursos de 28,7 </w:t>
            </w:r>
            <w:proofErr w:type="spellStart"/>
            <w:r w:rsidRPr="00FC6910">
              <w:rPr>
                <w:rFonts w:ascii="Georgia" w:eastAsia="Times New Roman" w:hAnsi="Georgia" w:cs="Arial"/>
                <w:color w:val="323232"/>
                <w:sz w:val="24"/>
                <w:szCs w:val="24"/>
              </w:rPr>
              <w:t>Mlbs</w:t>
            </w:r>
            <w:proofErr w:type="spellEnd"/>
            <w:r w:rsidRPr="00FC6910">
              <w:rPr>
                <w:rFonts w:ascii="Georgia" w:eastAsia="Times New Roman" w:hAnsi="Georgia" w:cs="Arial"/>
                <w:color w:val="323232"/>
                <w:sz w:val="24"/>
                <w:szCs w:val="24"/>
              </w:rPr>
              <w:t xml:space="preserve"> la explotación de los yacimientos es plenamente rentable. Con el presente comunicado se incluye información de los recursos de los yacimientos 100% propiedad de Berkeley.</w:t>
            </w:r>
            <w:r w:rsidRPr="00FC6910">
              <w:rPr>
                <w:rFonts w:ascii="Georgia" w:eastAsia="Times New Roman" w:hAnsi="Georgia" w:cs="Arial"/>
                <w:color w:val="323232"/>
                <w:sz w:val="24"/>
                <w:szCs w:val="24"/>
              </w:rPr>
              <w:br/>
            </w:r>
            <w:r w:rsidRPr="00FC6910">
              <w:rPr>
                <w:rFonts w:ascii="Georgia" w:eastAsia="Times New Roman" w:hAnsi="Georgia" w:cs="Arial"/>
                <w:color w:val="323232"/>
                <w:sz w:val="24"/>
                <w:szCs w:val="24"/>
              </w:rPr>
              <w:br/>
              <w:t>Debe tenerse en cuenta que el Estudio de Viabilidad Preliminar, objeto de resumen en el presente documento, base del Plan de Explotación presentado a las autoridades regionales, se limita únicamente a la primera fase del Proyecto Salamanca 1. Ante esto, la empresa es consciente de que la valoración económica</w:t>
            </w:r>
            <w:r w:rsidRPr="00FC6910">
              <w:rPr>
                <w:rFonts w:ascii="Georgia" w:eastAsia="Times New Roman" w:hAnsi="Georgia" w:cs="Arial"/>
                <w:color w:val="323232"/>
                <w:sz w:val="24"/>
                <w:szCs w:val="24"/>
              </w:rPr>
              <w:br/>
              <w:t xml:space="preserve">presentada a continuación, aunque sólida, puede incrementarse a medida que los restantes yacimientos de Salamanca 1 se incorporen al proyecto, y cuyo mineral será tratado en la instalación de proceso centralizada de </w:t>
            </w:r>
            <w:proofErr w:type="spellStart"/>
            <w:r w:rsidRPr="00FC6910">
              <w:rPr>
                <w:rFonts w:ascii="Georgia" w:eastAsia="Times New Roman" w:hAnsi="Georgia" w:cs="Arial"/>
                <w:color w:val="323232"/>
                <w:sz w:val="24"/>
                <w:szCs w:val="24"/>
              </w:rPr>
              <w:t>Retortillo</w:t>
            </w:r>
            <w:proofErr w:type="spellEnd"/>
            <w:r w:rsidRPr="00FC6910">
              <w:rPr>
                <w:rFonts w:ascii="Georgia" w:eastAsia="Times New Roman" w:hAnsi="Georgia" w:cs="Arial"/>
                <w:color w:val="323232"/>
                <w:sz w:val="24"/>
                <w:szCs w:val="24"/>
              </w:rPr>
              <w:t>. Estos se incorporarán una vez se hayan completado los análisis metalúrgicos y geológicos</w:t>
            </w:r>
            <w:r w:rsidRPr="00FC6910">
              <w:rPr>
                <w:rFonts w:ascii="Georgia" w:eastAsia="Times New Roman" w:hAnsi="Georgia" w:cs="Arial"/>
                <w:color w:val="323232"/>
                <w:sz w:val="24"/>
                <w:szCs w:val="24"/>
              </w:rPr>
              <w:br/>
              <w:t>adicionales que se llevarán a cabo durante 2012. En este año, Berkeley realizará trabajos de exploración en los permisos 100% propiedad de la empresa, y que ofrecen importantes perspectivas.</w:t>
            </w:r>
            <w:r w:rsidRPr="00FC6910">
              <w:rPr>
                <w:rFonts w:ascii="Georgia" w:eastAsia="Times New Roman" w:hAnsi="Georgia" w:cs="Arial"/>
                <w:color w:val="323232"/>
                <w:sz w:val="24"/>
                <w:szCs w:val="24"/>
              </w:rPr>
              <w:br/>
            </w:r>
            <w:r w:rsidRPr="00FC6910">
              <w:rPr>
                <w:rFonts w:ascii="Georgia" w:eastAsia="Times New Roman" w:hAnsi="Georgia" w:cs="Arial"/>
                <w:color w:val="323232"/>
                <w:sz w:val="24"/>
                <w:szCs w:val="24"/>
              </w:rPr>
              <w:br/>
              <w:t>Datos obtenidos de los resultados del Estudio de Viabilidad Preliminar del proyecto Salamanca 1, 100% propiedad de Berkeley (</w:t>
            </w:r>
            <w:proofErr w:type="spellStart"/>
            <w:r w:rsidRPr="00FC6910">
              <w:rPr>
                <w:rFonts w:ascii="Georgia" w:eastAsia="Times New Roman" w:hAnsi="Georgia" w:cs="Arial"/>
                <w:color w:val="323232"/>
                <w:sz w:val="24"/>
                <w:szCs w:val="24"/>
              </w:rPr>
              <w:t>Retortillo</w:t>
            </w:r>
            <w:proofErr w:type="spellEnd"/>
            <w:r w:rsidRPr="00FC6910">
              <w:rPr>
                <w:rFonts w:ascii="Georgia" w:eastAsia="Times New Roman" w:hAnsi="Georgia" w:cs="Arial"/>
                <w:color w:val="323232"/>
                <w:sz w:val="24"/>
                <w:szCs w:val="24"/>
              </w:rPr>
              <w:t xml:space="preserve"> y Santidad) </w:t>
            </w:r>
            <w:r w:rsidRPr="00FC6910">
              <w:rPr>
                <w:rFonts w:ascii="Georgia" w:eastAsia="Times New Roman" w:hAnsi="Georgia" w:cs="Arial"/>
                <w:color w:val="323232"/>
                <w:sz w:val="24"/>
                <w:szCs w:val="24"/>
              </w:rPr>
              <w:br/>
              <w:t>• Producción:</w:t>
            </w:r>
            <w:r w:rsidRPr="00FC6910">
              <w:rPr>
                <w:rFonts w:ascii="Georgia" w:eastAsia="Times New Roman" w:hAnsi="Georgia" w:cs="Arial"/>
                <w:color w:val="323232"/>
                <w:sz w:val="24"/>
                <w:szCs w:val="24"/>
              </w:rPr>
              <w:br/>
            </w:r>
            <w:r w:rsidRPr="00FC6910">
              <w:rPr>
                <w:rFonts w:ascii="Georgia" w:eastAsia="Times New Roman" w:hAnsi="Georgia" w:cs="Arial"/>
                <w:b/>
                <w:bCs/>
                <w:color w:val="323232"/>
                <w:sz w:val="24"/>
                <w:szCs w:val="24"/>
              </w:rPr>
              <w:t xml:space="preserve">- Vida de la mina: 10 años (en producción) </w:t>
            </w:r>
            <w:r w:rsidRPr="00FC6910">
              <w:rPr>
                <w:rFonts w:ascii="Georgia" w:eastAsia="Times New Roman" w:hAnsi="Georgia" w:cs="Arial"/>
                <w:color w:val="323232"/>
                <w:sz w:val="24"/>
                <w:szCs w:val="24"/>
              </w:rPr>
              <w:br/>
              <w:t xml:space="preserve">- U3O8 producido: 11,5 </w:t>
            </w:r>
            <w:proofErr w:type="spellStart"/>
            <w:r w:rsidRPr="00FC6910">
              <w:rPr>
                <w:rFonts w:ascii="Georgia" w:eastAsia="Times New Roman" w:hAnsi="Georgia" w:cs="Arial"/>
                <w:color w:val="323232"/>
                <w:sz w:val="24"/>
                <w:szCs w:val="24"/>
              </w:rPr>
              <w:t>Mlbs</w:t>
            </w:r>
            <w:proofErr w:type="spellEnd"/>
            <w:r w:rsidRPr="00FC6910">
              <w:rPr>
                <w:rFonts w:ascii="Georgia" w:eastAsia="Times New Roman" w:hAnsi="Georgia" w:cs="Arial"/>
                <w:color w:val="323232"/>
                <w:sz w:val="24"/>
                <w:szCs w:val="24"/>
              </w:rPr>
              <w:t xml:space="preserve"> (1,42 </w:t>
            </w:r>
            <w:proofErr w:type="spellStart"/>
            <w:r w:rsidRPr="00FC6910">
              <w:rPr>
                <w:rFonts w:ascii="Georgia" w:eastAsia="Times New Roman" w:hAnsi="Georgia" w:cs="Arial"/>
                <w:color w:val="323232"/>
                <w:sz w:val="24"/>
                <w:szCs w:val="24"/>
              </w:rPr>
              <w:t>Mlbs</w:t>
            </w:r>
            <w:proofErr w:type="spellEnd"/>
            <w:r w:rsidRPr="00FC6910">
              <w:rPr>
                <w:rFonts w:ascii="Georgia" w:eastAsia="Times New Roman" w:hAnsi="Georgia" w:cs="Arial"/>
                <w:color w:val="323232"/>
                <w:sz w:val="24"/>
                <w:szCs w:val="24"/>
              </w:rPr>
              <w:t xml:space="preserve">/año de media durante los primeros 6 años) </w:t>
            </w:r>
            <w:r w:rsidRPr="00FC6910">
              <w:rPr>
                <w:rFonts w:ascii="Georgia" w:eastAsia="Times New Roman" w:hAnsi="Georgia" w:cs="Arial"/>
                <w:color w:val="323232"/>
                <w:sz w:val="24"/>
                <w:szCs w:val="24"/>
              </w:rPr>
              <w:br/>
              <w:t xml:space="preserve">• Datos económicos: </w:t>
            </w:r>
            <w:r w:rsidRPr="00FC6910">
              <w:rPr>
                <w:rFonts w:ascii="Georgia" w:eastAsia="Times New Roman" w:hAnsi="Georgia" w:cs="Arial"/>
                <w:color w:val="323232"/>
                <w:sz w:val="24"/>
                <w:szCs w:val="24"/>
              </w:rPr>
              <w:br/>
              <w:t>- CAPEX durante la vida de la mina: 83,7 M€</w:t>
            </w:r>
            <w:r w:rsidRPr="00FC6910">
              <w:rPr>
                <w:rFonts w:ascii="Georgia" w:eastAsia="Times New Roman" w:hAnsi="Georgia" w:cs="Arial"/>
                <w:color w:val="323232"/>
                <w:sz w:val="24"/>
                <w:szCs w:val="24"/>
              </w:rPr>
              <w:br/>
              <w:t xml:space="preserve">- CAPEX anterior a la puesta en marcha: 62,5 M€ (contingencias incluidas) </w:t>
            </w:r>
            <w:r w:rsidRPr="00FC6910">
              <w:rPr>
                <w:rFonts w:ascii="Georgia" w:eastAsia="Times New Roman" w:hAnsi="Georgia" w:cs="Arial"/>
                <w:color w:val="323232"/>
                <w:sz w:val="24"/>
                <w:szCs w:val="24"/>
              </w:rPr>
              <w:br/>
              <w:t>- Total costes (Royalties incluidos): 30,3 USD/lb - VAN: 136,2 M$ (USD)*</w:t>
            </w:r>
            <w:r w:rsidRPr="00FC6910">
              <w:rPr>
                <w:rFonts w:ascii="Georgia" w:eastAsia="Times New Roman" w:hAnsi="Georgia" w:cs="Arial"/>
                <w:color w:val="323232"/>
                <w:sz w:val="24"/>
                <w:szCs w:val="24"/>
              </w:rPr>
              <w:br/>
              <w:t>- TIR: 47%*</w:t>
            </w:r>
            <w:r w:rsidRPr="00FC6910">
              <w:rPr>
                <w:rFonts w:ascii="Georgia" w:eastAsia="Times New Roman" w:hAnsi="Georgia" w:cs="Arial"/>
                <w:color w:val="323232"/>
                <w:sz w:val="24"/>
                <w:szCs w:val="24"/>
              </w:rPr>
              <w:br/>
              <w:t xml:space="preserve">- Período de Retorno: 1,9 años* </w:t>
            </w:r>
            <w:r w:rsidRPr="00FC6910">
              <w:rPr>
                <w:rFonts w:ascii="Georgia" w:eastAsia="Times New Roman" w:hAnsi="Georgia" w:cs="Arial"/>
                <w:color w:val="323232"/>
                <w:sz w:val="24"/>
                <w:szCs w:val="24"/>
              </w:rPr>
              <w:br/>
              <w:t>(* Se utiliza una tasa de cambio de 1,32US$/€; el precio del uranio se establece en US$65/lb; la tasa de de</w:t>
            </w:r>
          </w:p>
        </w:tc>
      </w:tr>
    </w:tbl>
    <w:p w:rsidR="00611107" w:rsidRDefault="00611107"/>
    <w:sectPr w:rsidR="00611107" w:rsidSect="00FC691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FC6910"/>
    <w:rsid w:val="00611107"/>
    <w:rsid w:val="00FC691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C69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6910"/>
    <w:rPr>
      <w:rFonts w:ascii="Times New Roman" w:eastAsia="Times New Roman" w:hAnsi="Times New Roman" w:cs="Times New Roman"/>
      <w:b/>
      <w:bCs/>
      <w:kern w:val="36"/>
      <w:sz w:val="48"/>
      <w:szCs w:val="48"/>
    </w:rPr>
  </w:style>
  <w:style w:type="character" w:styleId="Hipervnculo">
    <w:name w:val="Hyperlink"/>
    <w:basedOn w:val="Fuentedeprrafopredeter"/>
    <w:uiPriority w:val="99"/>
    <w:semiHidden/>
    <w:unhideWhenUsed/>
    <w:rsid w:val="00FC6910"/>
    <w:rPr>
      <w:color w:val="0000FF"/>
      <w:u w:val="single"/>
    </w:rPr>
  </w:style>
  <w:style w:type="character" w:styleId="Textoennegrita">
    <w:name w:val="Strong"/>
    <w:basedOn w:val="Fuentedeprrafopredeter"/>
    <w:uiPriority w:val="22"/>
    <w:qFormat/>
    <w:rsid w:val="00FC6910"/>
    <w:rPr>
      <w:b/>
      <w:bCs/>
    </w:rPr>
  </w:style>
  <w:style w:type="paragraph" w:styleId="Textodeglobo">
    <w:name w:val="Balloon Text"/>
    <w:basedOn w:val="Normal"/>
    <w:link w:val="TextodegloboCar"/>
    <w:uiPriority w:val="99"/>
    <w:semiHidden/>
    <w:unhideWhenUsed/>
    <w:rsid w:val="00FC69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9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3106703">
      <w:bodyDiv w:val="1"/>
      <w:marLeft w:val="0"/>
      <w:marRight w:val="0"/>
      <w:marTop w:val="0"/>
      <w:marBottom w:val="0"/>
      <w:divBdr>
        <w:top w:val="none" w:sz="0" w:space="0" w:color="auto"/>
        <w:left w:val="none" w:sz="0" w:space="0" w:color="auto"/>
        <w:bottom w:val="none" w:sz="0" w:space="0" w:color="auto"/>
        <w:right w:val="none" w:sz="0" w:space="0" w:color="auto"/>
      </w:divBdr>
      <w:divsChild>
        <w:div w:id="404373998">
          <w:marLeft w:val="0"/>
          <w:marRight w:val="0"/>
          <w:marTop w:val="0"/>
          <w:marBottom w:val="0"/>
          <w:divBdr>
            <w:top w:val="none" w:sz="0" w:space="0" w:color="auto"/>
            <w:left w:val="none" w:sz="0" w:space="0" w:color="auto"/>
            <w:bottom w:val="none" w:sz="0" w:space="0" w:color="auto"/>
            <w:right w:val="none" w:sz="0" w:space="0" w:color="auto"/>
          </w:divBdr>
          <w:divsChild>
            <w:div w:id="597904200">
              <w:marLeft w:val="0"/>
              <w:marRight w:val="0"/>
              <w:marTop w:val="0"/>
              <w:marBottom w:val="0"/>
              <w:divBdr>
                <w:top w:val="none" w:sz="0" w:space="0" w:color="auto"/>
                <w:left w:val="none" w:sz="0" w:space="0" w:color="auto"/>
                <w:bottom w:val="none" w:sz="0" w:space="0" w:color="auto"/>
                <w:right w:val="none" w:sz="0" w:space="0" w:color="auto"/>
              </w:divBdr>
              <w:divsChild>
                <w:div w:id="1282105855">
                  <w:marLeft w:val="0"/>
                  <w:marRight w:val="0"/>
                  <w:marTop w:val="0"/>
                  <w:marBottom w:val="0"/>
                  <w:divBdr>
                    <w:top w:val="none" w:sz="0" w:space="0" w:color="auto"/>
                    <w:left w:val="none" w:sz="0" w:space="0" w:color="auto"/>
                    <w:bottom w:val="none" w:sz="0" w:space="0" w:color="auto"/>
                    <w:right w:val="none" w:sz="0" w:space="0" w:color="auto"/>
                  </w:divBdr>
                  <w:divsChild>
                    <w:div w:id="793407134">
                      <w:marLeft w:val="0"/>
                      <w:marRight w:val="0"/>
                      <w:marTop w:val="0"/>
                      <w:marBottom w:val="0"/>
                      <w:divBdr>
                        <w:top w:val="none" w:sz="0" w:space="0" w:color="auto"/>
                        <w:left w:val="none" w:sz="0" w:space="0" w:color="auto"/>
                        <w:bottom w:val="none" w:sz="0" w:space="0" w:color="auto"/>
                        <w:right w:val="none" w:sz="0" w:space="0" w:color="auto"/>
                      </w:divBdr>
                      <w:divsChild>
                        <w:div w:id="1178618628">
                          <w:marLeft w:val="0"/>
                          <w:marRight w:val="0"/>
                          <w:marTop w:val="225"/>
                          <w:marBottom w:val="0"/>
                          <w:divBdr>
                            <w:top w:val="single" w:sz="6" w:space="4" w:color="C1D4EC"/>
                            <w:left w:val="single" w:sz="6" w:space="8" w:color="C1D4EC"/>
                            <w:bottom w:val="single" w:sz="6" w:space="4" w:color="C1D4EC"/>
                            <w:right w:val="single" w:sz="6" w:space="4" w:color="C1D4EC"/>
                          </w:divBdr>
                          <w:divsChild>
                            <w:div w:id="1612083645">
                              <w:marLeft w:val="0"/>
                              <w:marRight w:val="0"/>
                              <w:marTop w:val="75"/>
                              <w:marBottom w:val="0"/>
                              <w:divBdr>
                                <w:top w:val="none" w:sz="0" w:space="0" w:color="auto"/>
                                <w:left w:val="none" w:sz="0" w:space="0" w:color="auto"/>
                                <w:bottom w:val="none" w:sz="0" w:space="0" w:color="auto"/>
                                <w:right w:val="none" w:sz="0" w:space="0" w:color="auto"/>
                              </w:divBdr>
                            </w:div>
                            <w:div w:id="1658262364">
                              <w:marLeft w:val="0"/>
                              <w:marRight w:val="0"/>
                              <w:marTop w:val="0"/>
                              <w:marBottom w:val="0"/>
                              <w:divBdr>
                                <w:top w:val="none" w:sz="0" w:space="0" w:color="auto"/>
                                <w:left w:val="none" w:sz="0" w:space="0" w:color="auto"/>
                                <w:bottom w:val="none" w:sz="0" w:space="0" w:color="auto"/>
                                <w:right w:val="none" w:sz="0" w:space="0" w:color="auto"/>
                              </w:divBdr>
                              <w:divsChild>
                                <w:div w:id="1352759485">
                                  <w:marLeft w:val="0"/>
                                  <w:marRight w:val="0"/>
                                  <w:marTop w:val="0"/>
                                  <w:marBottom w:val="0"/>
                                  <w:divBdr>
                                    <w:top w:val="none" w:sz="0" w:space="0" w:color="auto"/>
                                    <w:left w:val="none" w:sz="0" w:space="0" w:color="auto"/>
                                    <w:bottom w:val="none" w:sz="0" w:space="0" w:color="auto"/>
                                    <w:right w:val="none" w:sz="0" w:space="0" w:color="auto"/>
                                  </w:divBdr>
                                </w:div>
                                <w:div w:id="2930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4698">
                          <w:marLeft w:val="0"/>
                          <w:marRight w:val="0"/>
                          <w:marTop w:val="0"/>
                          <w:marBottom w:val="0"/>
                          <w:divBdr>
                            <w:top w:val="none" w:sz="0" w:space="0" w:color="auto"/>
                            <w:left w:val="none" w:sz="0" w:space="0" w:color="auto"/>
                            <w:bottom w:val="none" w:sz="0" w:space="0" w:color="auto"/>
                            <w:right w:val="none" w:sz="0" w:space="0" w:color="auto"/>
                          </w:divBdr>
                          <w:divsChild>
                            <w:div w:id="2121870740">
                              <w:marLeft w:val="0"/>
                              <w:marRight w:val="0"/>
                              <w:marTop w:val="0"/>
                              <w:marBottom w:val="0"/>
                              <w:divBdr>
                                <w:top w:val="none" w:sz="0" w:space="0" w:color="auto"/>
                                <w:left w:val="none" w:sz="0" w:space="0" w:color="auto"/>
                                <w:bottom w:val="none" w:sz="0" w:space="0" w:color="auto"/>
                                <w:right w:val="none" w:sz="0" w:space="0" w:color="auto"/>
                              </w:divBdr>
                              <w:divsChild>
                                <w:div w:id="93981470">
                                  <w:marLeft w:val="0"/>
                                  <w:marRight w:val="0"/>
                                  <w:marTop w:val="0"/>
                                  <w:marBottom w:val="0"/>
                                  <w:divBdr>
                                    <w:top w:val="none" w:sz="0" w:space="0" w:color="auto"/>
                                    <w:left w:val="none" w:sz="0" w:space="0" w:color="auto"/>
                                    <w:bottom w:val="none" w:sz="0" w:space="0" w:color="auto"/>
                                    <w:right w:val="none" w:sz="0" w:space="0" w:color="auto"/>
                                  </w:divBdr>
                                </w:div>
                                <w:div w:id="65421974">
                                  <w:marLeft w:val="0"/>
                                  <w:marRight w:val="0"/>
                                  <w:marTop w:val="225"/>
                                  <w:marBottom w:val="0"/>
                                  <w:divBdr>
                                    <w:top w:val="none" w:sz="0" w:space="0" w:color="auto"/>
                                    <w:left w:val="none" w:sz="0" w:space="0" w:color="auto"/>
                                    <w:bottom w:val="none" w:sz="0" w:space="0" w:color="auto"/>
                                    <w:right w:val="none" w:sz="0" w:space="0" w:color="auto"/>
                                  </w:divBdr>
                                </w:div>
                                <w:div w:id="5842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www.salamanca24horas.com/exportar_articulopdf.php?id_contenido=61068"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3637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2012-02-01T11:15:00Z</dcterms:created>
  <dcterms:modified xsi:type="dcterms:W3CDTF">2012-02-01T11:16:00Z</dcterms:modified>
</cp:coreProperties>
</file>